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(4)(i)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(i)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Is subject to an</w:t>
      </w:r>
      <w:bookmarkStart w:id="1" w:name="_GoBack"/>
      <w:bookmarkEnd w:id="1"/>
      <w:r>
        <w:rPr>
          <w:rFonts w:ascii="Arial" w:hAnsi="Arial" w:cs="Arial"/>
          <w:sz w:val="16"/>
          <w:szCs w:val="16"/>
        </w:rPr>
        <w:t>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(i)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2" w:name="40:10.0.1.1.1.1.5.2"/>
      <w:bookmarkEnd w:id="2"/>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112(i)(5) or 112(i)(6)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lastRenderedPageBreak/>
        <w:t>(i)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w:t>
      </w:r>
      <w:r>
        <w:rPr>
          <w:rFonts w:ascii="Arial" w:hAnsi="Arial" w:cs="Arial"/>
          <w:sz w:val="16"/>
          <w:szCs w:val="16"/>
        </w:rPr>
        <w:lastRenderedPageBreak/>
        <w:t>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(i)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nonaffected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(i)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3" w:name="40:10.0.1.1.1.1.5.3"/>
      <w:bookmarkEnd w:id="3"/>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Mg = megagram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MJ = megajoule</w:t>
      </w:r>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t>N = newton</w:t>
      </w:r>
    </w:p>
    <w:p w:rsidR="005C494B" w:rsidRDefault="005C494B" w:rsidP="005C494B">
      <w:pPr>
        <w:pStyle w:val="fp-1"/>
        <w:rPr>
          <w:rFonts w:ascii="Arial" w:hAnsi="Arial" w:cs="Arial"/>
          <w:sz w:val="14"/>
          <w:szCs w:val="14"/>
        </w:rPr>
      </w:pPr>
      <w:r>
        <w:rPr>
          <w:rFonts w:ascii="Arial" w:hAnsi="Arial" w:cs="Arial"/>
          <w:sz w:val="14"/>
          <w:szCs w:val="14"/>
        </w:rPr>
        <w:t>ng = nanogram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Pa = pascal</w:t>
      </w:r>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lastRenderedPageBreak/>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µl = microliter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r>
        <w:rPr>
          <w:rFonts w:ascii="Arial" w:hAnsi="Arial" w:cs="Arial"/>
          <w:sz w:val="14"/>
          <w:szCs w:val="14"/>
        </w:rPr>
        <w:t>cfm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r>
        <w:rPr>
          <w:rFonts w:ascii="Arial" w:hAnsi="Arial" w:cs="Arial"/>
          <w:sz w:val="14"/>
          <w:szCs w:val="14"/>
        </w:rPr>
        <w:t>dcf = dry cubic feet</w:t>
      </w:r>
    </w:p>
    <w:p w:rsidR="005C494B" w:rsidRDefault="005C494B" w:rsidP="005C494B">
      <w:pPr>
        <w:pStyle w:val="fp-1"/>
        <w:rPr>
          <w:rFonts w:ascii="Arial" w:hAnsi="Arial" w:cs="Arial"/>
          <w:sz w:val="14"/>
          <w:szCs w:val="14"/>
        </w:rPr>
      </w:pPr>
      <w:r>
        <w:rPr>
          <w:rFonts w:ascii="Arial" w:hAnsi="Arial" w:cs="Arial"/>
          <w:sz w:val="14"/>
          <w:szCs w:val="14"/>
        </w:rPr>
        <w:t>dcm = dry cubic meter</w:t>
      </w:r>
    </w:p>
    <w:p w:rsidR="005C494B" w:rsidRDefault="005C494B" w:rsidP="005C494B">
      <w:pPr>
        <w:pStyle w:val="fp-1"/>
        <w:rPr>
          <w:rFonts w:ascii="Arial" w:hAnsi="Arial" w:cs="Arial"/>
          <w:sz w:val="14"/>
          <w:szCs w:val="14"/>
        </w:rPr>
      </w:pPr>
      <w:r>
        <w:rPr>
          <w:rFonts w:ascii="Arial" w:hAnsi="Arial" w:cs="Arial"/>
          <w:sz w:val="14"/>
          <w:szCs w:val="14"/>
        </w:rPr>
        <w:t>dscf = dry cubic feet at standard conditions</w:t>
      </w:r>
    </w:p>
    <w:p w:rsidR="005C494B" w:rsidRDefault="005C494B" w:rsidP="005C494B">
      <w:pPr>
        <w:pStyle w:val="fp-1"/>
        <w:rPr>
          <w:rFonts w:ascii="Arial" w:hAnsi="Arial" w:cs="Arial"/>
          <w:sz w:val="14"/>
          <w:szCs w:val="14"/>
        </w:rPr>
      </w:pPr>
      <w:r>
        <w:rPr>
          <w:rFonts w:ascii="Arial" w:hAnsi="Arial" w:cs="Arial"/>
          <w:sz w:val="14"/>
          <w:szCs w:val="14"/>
        </w:rPr>
        <w:t>dscm = dry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eq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r>
        <w:rPr>
          <w:rFonts w:ascii="Arial" w:hAnsi="Arial" w:cs="Arial"/>
          <w:sz w:val="14"/>
          <w:szCs w:val="14"/>
        </w:rPr>
        <w:t>gr = grain</w:t>
      </w:r>
    </w:p>
    <w:p w:rsidR="005C494B" w:rsidRDefault="005C494B" w:rsidP="005C494B">
      <w:pPr>
        <w:pStyle w:val="fp-1"/>
        <w:rPr>
          <w:rFonts w:ascii="Arial" w:hAnsi="Arial" w:cs="Arial"/>
          <w:sz w:val="14"/>
          <w:szCs w:val="14"/>
        </w:rPr>
      </w:pPr>
      <w:r>
        <w:rPr>
          <w:rFonts w:ascii="Arial" w:hAnsi="Arial" w:cs="Arial"/>
          <w:sz w:val="14"/>
          <w:szCs w:val="14"/>
        </w:rPr>
        <w:t>g-eq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r>
        <w:rPr>
          <w:rFonts w:ascii="Arial" w:hAnsi="Arial" w:cs="Arial"/>
          <w:sz w:val="14"/>
          <w:szCs w:val="14"/>
        </w:rPr>
        <w:t>lpm = liter per minute</w:t>
      </w:r>
    </w:p>
    <w:p w:rsidR="005C494B" w:rsidRDefault="005C494B" w:rsidP="005C494B">
      <w:pPr>
        <w:pStyle w:val="fp-1"/>
        <w:rPr>
          <w:rFonts w:ascii="Arial" w:hAnsi="Arial" w:cs="Arial"/>
          <w:sz w:val="14"/>
          <w:szCs w:val="14"/>
        </w:rPr>
      </w:pPr>
      <w:r>
        <w:rPr>
          <w:rFonts w:ascii="Arial" w:hAnsi="Arial" w:cs="Arial"/>
          <w:sz w:val="14"/>
          <w:szCs w:val="14"/>
        </w:rPr>
        <w:t>meq = milliequivalent</w:t>
      </w:r>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lastRenderedPageBreak/>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r>
        <w:rPr>
          <w:rFonts w:ascii="Arial" w:hAnsi="Arial" w:cs="Arial"/>
          <w:sz w:val="14"/>
          <w:szCs w:val="14"/>
        </w:rPr>
        <w:t>ppbw = parts per billion by weight</w:t>
      </w:r>
    </w:p>
    <w:p w:rsidR="005C494B" w:rsidRDefault="005C494B" w:rsidP="005C494B">
      <w:pPr>
        <w:pStyle w:val="fp-1"/>
        <w:rPr>
          <w:rFonts w:ascii="Arial" w:hAnsi="Arial" w:cs="Arial"/>
          <w:sz w:val="14"/>
          <w:szCs w:val="14"/>
        </w:rPr>
      </w:pPr>
      <w:r>
        <w:rPr>
          <w:rFonts w:ascii="Arial" w:hAnsi="Arial" w:cs="Arial"/>
          <w:sz w:val="14"/>
          <w:szCs w:val="14"/>
        </w:rPr>
        <w:t>ppbv = parts per billion by volume</w:t>
      </w:r>
    </w:p>
    <w:p w:rsidR="005C494B" w:rsidRDefault="005C494B" w:rsidP="005C494B">
      <w:pPr>
        <w:pStyle w:val="fp-1"/>
        <w:rPr>
          <w:rFonts w:ascii="Arial" w:hAnsi="Arial" w:cs="Arial"/>
          <w:sz w:val="14"/>
          <w:szCs w:val="14"/>
        </w:rPr>
      </w:pPr>
      <w:r>
        <w:rPr>
          <w:rFonts w:ascii="Arial" w:hAnsi="Arial" w:cs="Arial"/>
          <w:sz w:val="14"/>
          <w:szCs w:val="14"/>
        </w:rPr>
        <w:t>ppm = parts per million</w:t>
      </w:r>
    </w:p>
    <w:p w:rsidR="005C494B" w:rsidRDefault="005C494B" w:rsidP="005C494B">
      <w:pPr>
        <w:pStyle w:val="fp-1"/>
        <w:rPr>
          <w:rFonts w:ascii="Arial" w:hAnsi="Arial" w:cs="Arial"/>
          <w:sz w:val="14"/>
          <w:szCs w:val="14"/>
        </w:rPr>
      </w:pPr>
      <w:r>
        <w:rPr>
          <w:rFonts w:ascii="Arial" w:hAnsi="Arial" w:cs="Arial"/>
          <w:sz w:val="14"/>
          <w:szCs w:val="14"/>
        </w:rPr>
        <w:t>ppmw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r>
        <w:rPr>
          <w:rFonts w:ascii="Arial" w:hAnsi="Arial" w:cs="Arial"/>
          <w:sz w:val="14"/>
          <w:szCs w:val="14"/>
        </w:rPr>
        <w:t>psia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°R = degree Rankine</w:t>
      </w:r>
    </w:p>
    <w:p w:rsidR="005C494B" w:rsidRDefault="005C494B" w:rsidP="005C494B">
      <w:pPr>
        <w:pStyle w:val="fp-1"/>
        <w:rPr>
          <w:rFonts w:ascii="Arial" w:hAnsi="Arial" w:cs="Arial"/>
          <w:sz w:val="14"/>
          <w:szCs w:val="14"/>
        </w:rPr>
      </w:pPr>
      <w:r>
        <w:rPr>
          <w:rFonts w:ascii="Arial" w:hAnsi="Arial" w:cs="Arial"/>
          <w:sz w:val="14"/>
          <w:szCs w:val="14"/>
        </w:rPr>
        <w:t>scf = cubic feet at standard conditions</w:t>
      </w:r>
    </w:p>
    <w:p w:rsidR="005C494B" w:rsidRDefault="005C494B" w:rsidP="005C494B">
      <w:pPr>
        <w:pStyle w:val="fp-1"/>
        <w:rPr>
          <w:rFonts w:ascii="Arial" w:hAnsi="Arial" w:cs="Arial"/>
          <w:sz w:val="14"/>
          <w:szCs w:val="14"/>
        </w:rPr>
      </w:pPr>
      <w:r>
        <w:rPr>
          <w:rFonts w:ascii="Arial" w:hAnsi="Arial" w:cs="Arial"/>
          <w:sz w:val="14"/>
          <w:szCs w:val="14"/>
        </w:rPr>
        <w:t>scfh = cubic feet at standard conditions per hour</w:t>
      </w:r>
    </w:p>
    <w:p w:rsidR="005C494B" w:rsidRDefault="005C494B" w:rsidP="005C494B">
      <w:pPr>
        <w:pStyle w:val="fp-1"/>
        <w:rPr>
          <w:rFonts w:ascii="Arial" w:hAnsi="Arial" w:cs="Arial"/>
          <w:sz w:val="14"/>
          <w:szCs w:val="14"/>
        </w:rPr>
      </w:pPr>
      <w:r>
        <w:rPr>
          <w:rFonts w:ascii="Arial" w:hAnsi="Arial" w:cs="Arial"/>
          <w:sz w:val="14"/>
          <w:szCs w:val="14"/>
        </w:rPr>
        <w:t>scm =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scmm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r>
        <w:rPr>
          <w:rFonts w:ascii="Arial" w:hAnsi="Arial" w:cs="Arial"/>
          <w:sz w:val="14"/>
          <w:szCs w:val="14"/>
        </w:rPr>
        <w:t>avg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4"/>
      <w:bookmarkEnd w:id="4"/>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5C494B" w:rsidRDefault="005C494B" w:rsidP="005C494B">
      <w:pPr>
        <w:pStyle w:val="NormalWeb"/>
        <w:rPr>
          <w:rFonts w:ascii="Arial" w:hAnsi="Arial" w:cs="Arial"/>
          <w:sz w:val="16"/>
          <w:szCs w:val="16"/>
        </w:rPr>
      </w:pPr>
      <w:r>
        <w:rPr>
          <w:rFonts w:ascii="Arial" w:hAnsi="Arial" w:cs="Arial"/>
          <w:sz w:val="16"/>
          <w:szCs w:val="16"/>
        </w:rPr>
        <w:lastRenderedPageBreak/>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5"/>
      <w:bookmarkEnd w:id="5"/>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(i)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112(i)(1)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(i)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(i)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6" w:name="40:10.0.1.1.1.1.5.6"/>
      <w:bookmarkEnd w:id="6"/>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(i) The Administrator (or a State with an approved permit program) has granted an extension of compliance consistent with paragraph (i)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112(i)(4)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lastRenderedPageBreak/>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t>
      </w:r>
      <w:r>
        <w:rPr>
          <w:rFonts w:ascii="Arial" w:hAnsi="Arial" w:cs="Arial"/>
          <w:sz w:val="16"/>
          <w:szCs w:val="16"/>
        </w:rPr>
        <w:lastRenderedPageBreak/>
        <w:t>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w:t>
      </w:r>
      <w:r>
        <w:rPr>
          <w:rFonts w:ascii="Arial" w:hAnsi="Arial" w:cs="Arial"/>
          <w:sz w:val="16"/>
          <w:szCs w:val="16"/>
        </w:rPr>
        <w:lastRenderedPageBreak/>
        <w:t>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Compliance with nonopacity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Use of an alternative nonopacity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w:t>
      </w:r>
      <w:r>
        <w:rPr>
          <w:rFonts w:ascii="Arial" w:hAnsi="Arial" w:cs="Arial"/>
          <w:sz w:val="16"/>
          <w:szCs w:val="16"/>
        </w:rPr>
        <w:lastRenderedPageBreak/>
        <w:t>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(i)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t>
      </w:r>
      <w:r>
        <w:rPr>
          <w:rFonts w:ascii="Arial" w:hAnsi="Arial" w:cs="Arial"/>
          <w:sz w:val="16"/>
          <w:szCs w:val="16"/>
        </w:rPr>
        <w:lastRenderedPageBreak/>
        <w:t xml:space="preserve">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—(i) </w:t>
      </w:r>
      <w:r>
        <w:rPr>
          <w:rFonts w:ascii="Arial" w:hAnsi="Arial" w:cs="Arial"/>
          <w:i/>
          <w:iCs/>
          <w:sz w:val="16"/>
          <w:szCs w:val="16"/>
        </w:rPr>
        <w:t>Early reductions.</w:t>
      </w:r>
      <w:r>
        <w:rPr>
          <w:rFonts w:ascii="Arial" w:hAnsi="Arial" w:cs="Arial"/>
          <w:sz w:val="16"/>
          <w:szCs w:val="16"/>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(6)(i) The request for a compliance extension under paragraph (i)(4)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(i)(9) through (i)(14) of this section concern approval of an extension of compliance requested under paragraphs (i)(4) through (i)(6)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(i)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(i)(4),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(i)(5),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lastRenderedPageBreak/>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C494B" w:rsidRDefault="005C494B" w:rsidP="005C494B">
      <w:pPr>
        <w:pStyle w:val="NormalWeb"/>
        <w:rPr>
          <w:rFonts w:ascii="Arial" w:hAnsi="Arial" w:cs="Arial"/>
          <w:sz w:val="16"/>
          <w:szCs w:val="16"/>
        </w:rPr>
      </w:pPr>
      <w:r>
        <w:rPr>
          <w:rFonts w:ascii="Arial" w:hAnsi="Arial" w:cs="Arial"/>
          <w:sz w:val="16"/>
          <w:szCs w:val="16"/>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7" w:name="40:10.0.1.1.1.1.5.7"/>
      <w:bookmarkEnd w:id="7"/>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(i)-(viii)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lastRenderedPageBreak/>
        <w:t>(iv) Until an extension of the performance test deadline has been approved by the Administrator under paragraphs (a)(4)(i),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 xml:space="preserve">(2)(i)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w:t>
      </w:r>
      <w:r>
        <w:rPr>
          <w:rFonts w:ascii="Arial" w:hAnsi="Arial" w:cs="Arial"/>
          <w:sz w:val="16"/>
          <w:szCs w:val="16"/>
        </w:rPr>
        <w:lastRenderedPageBreak/>
        <w:t>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(c)(3)(i)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lastRenderedPageBreak/>
        <w:t>(i)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(i)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(i)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(3) </w:t>
      </w:r>
      <w:r>
        <w:rPr>
          <w:rFonts w:ascii="Arial" w:hAnsi="Arial" w:cs="Arial"/>
          <w:i/>
          <w:iCs/>
          <w:sz w:val="16"/>
          <w:szCs w:val="16"/>
        </w:rPr>
        <w:t>Request to waive a performance test.</w:t>
      </w:r>
      <w:r>
        <w:rPr>
          <w:rFonts w:ascii="Arial" w:hAnsi="Arial" w:cs="Arial"/>
          <w:sz w:val="16"/>
          <w:szCs w:val="16"/>
        </w:rPr>
        <w:t xml:space="preserve"> (i) If a request is made for an extension of compliance under §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under § 63.6(i)(8);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8" w:name="40:10.0.1.1.1.1.5.8"/>
      <w:bookmarkEnd w:id="8"/>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(2)(i)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(i)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lastRenderedPageBreak/>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(7)(i)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(i)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w:t>
      </w:r>
      <w:r>
        <w:rPr>
          <w:rFonts w:ascii="Arial" w:hAnsi="Arial" w:cs="Arial"/>
          <w:sz w:val="16"/>
          <w:szCs w:val="16"/>
        </w:rPr>
        <w:lastRenderedPageBreak/>
        <w:t>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 xml:space="preserve">(3)(i)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w:t>
      </w:r>
      <w:r>
        <w:rPr>
          <w:rFonts w:ascii="Arial" w:hAnsi="Arial" w:cs="Arial"/>
          <w:sz w:val="16"/>
          <w:szCs w:val="16"/>
        </w:rPr>
        <w:lastRenderedPageBreak/>
        <w:t>§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(i)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 xml:space="preserve">(4)(i)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w:t>
      </w:r>
      <w:r>
        <w:rPr>
          <w:rFonts w:ascii="Arial" w:hAnsi="Arial" w:cs="Arial"/>
          <w:sz w:val="16"/>
          <w:szCs w:val="16"/>
        </w:rPr>
        <w:lastRenderedPageBreak/>
        <w:t>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(f)(5)(i)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w:t>
      </w:r>
      <w:r>
        <w:rPr>
          <w:rFonts w:ascii="Arial" w:hAnsi="Arial" w:cs="Arial"/>
          <w:sz w:val="16"/>
          <w:szCs w:val="16"/>
        </w:rPr>
        <w:lastRenderedPageBreak/>
        <w:t>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(3) The data may be recorded in reduced or nonreduced form (e.g., ppm pollutant and percent O</w:t>
      </w:r>
      <w:r>
        <w:rPr>
          <w:rFonts w:ascii="Arial" w:hAnsi="Arial" w:cs="Arial"/>
          <w:sz w:val="11"/>
          <w:szCs w:val="11"/>
          <w:vertAlign w:val="subscript"/>
        </w:rPr>
        <w:t>2</w:t>
      </w:r>
      <w:r>
        <w:rPr>
          <w:rFonts w:ascii="Arial" w:hAnsi="Arial" w:cs="Arial"/>
          <w:sz w:val="16"/>
          <w:szCs w:val="16"/>
        </w:rPr>
        <w:t xml:space="preserve"> or ng/J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9" w:name="40:10.0.1.1.1.1.5.9"/>
      <w:bookmarkEnd w:id="9"/>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(1)(i)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(i)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w:t>
      </w:r>
      <w:r>
        <w:rPr>
          <w:rFonts w:ascii="Arial" w:hAnsi="Arial" w:cs="Arial"/>
          <w:sz w:val="16"/>
          <w:szCs w:val="16"/>
        </w:rPr>
        <w:lastRenderedPageBreak/>
        <w:t>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(i)(2) and (i)(3)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10" w:name="40:10.0.1.1.1.1.5.10"/>
      <w:bookmarkEnd w:id="10"/>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w:t>
      </w:r>
      <w:r>
        <w:rPr>
          <w:rFonts w:ascii="Arial" w:hAnsi="Arial" w:cs="Arial"/>
          <w:sz w:val="16"/>
          <w:szCs w:val="16"/>
        </w:rPr>
        <w:lastRenderedPageBreak/>
        <w:t>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(i)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 xml:space="preserve">(v)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w:t>
      </w:r>
      <w:r>
        <w:rPr>
          <w:rFonts w:ascii="Arial" w:hAnsi="Arial" w:cs="Arial"/>
          <w:sz w:val="16"/>
          <w:szCs w:val="16"/>
        </w:rPr>
        <w:lastRenderedPageBreak/>
        <w:t>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 xml:space="preserve">(5)(i)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lastRenderedPageBreak/>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lastRenderedPageBreak/>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1" w:name="40:10.0.1.1.1.1.5.11"/>
      <w:bookmarkEnd w:id="11"/>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5C494B" w:rsidRDefault="005C494B" w:rsidP="005C494B">
      <w:pPr>
        <w:pStyle w:val="NormalWeb"/>
        <w:rPr>
          <w:rFonts w:ascii="Arial" w:hAnsi="Arial" w:cs="Arial"/>
          <w:sz w:val="16"/>
          <w:szCs w:val="16"/>
        </w:rPr>
      </w:pPr>
      <w:r>
        <w:rPr>
          <w:rFonts w:ascii="Arial" w:hAnsi="Arial"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1"/>
          <w:szCs w:val="11"/>
          <w:vertAlign w:val="subscript"/>
        </w:rPr>
        <w:t>max</w:t>
      </w:r>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lastRenderedPageBreak/>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(b)(7)(i)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MJ/scm; where the net enthalpy per mole of offgas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(g-mole/scm) is 20 °C.</w:t>
      </w:r>
    </w:p>
    <w:p w:rsidR="005C494B" w:rsidRDefault="005C494B" w:rsidP="005C494B">
      <w:pPr>
        <w:pStyle w:val="fp-2"/>
        <w:rPr>
          <w:rFonts w:ascii="Arial" w:hAnsi="Arial" w:cs="Arial"/>
          <w:sz w:val="14"/>
          <w:szCs w:val="14"/>
        </w:rPr>
      </w:pPr>
      <w:r>
        <w:rPr>
          <w:rFonts w:ascii="Arial" w:hAnsi="Arial" w:cs="Arial"/>
          <w:sz w:val="14"/>
          <w:szCs w:val="14"/>
        </w:rPr>
        <w:t>C</w:t>
      </w:r>
      <w:r>
        <w:rPr>
          <w:rFonts w:ascii="Arial" w:hAnsi="Arial" w:cs="Arial"/>
          <w:sz w:val="10"/>
          <w:szCs w:val="10"/>
          <w:vertAlign w:val="subscript"/>
        </w:rPr>
        <w:t>i</w:t>
      </w:r>
      <w:r>
        <w:rPr>
          <w:rFonts w:ascii="Arial" w:hAnsi="Arial" w:cs="Arial"/>
          <w:sz w:val="14"/>
          <w:szCs w:val="14"/>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5C494B" w:rsidRDefault="005C494B" w:rsidP="005C494B">
      <w:pPr>
        <w:pStyle w:val="NormalWeb"/>
        <w:rPr>
          <w:rFonts w:ascii="Arial" w:hAnsi="Arial" w:cs="Arial"/>
          <w:sz w:val="16"/>
          <w:szCs w:val="16"/>
        </w:rPr>
      </w:pPr>
      <w:r>
        <w:rPr>
          <w:rFonts w:ascii="Arial" w:hAnsi="Arial" w:cs="Arial"/>
          <w:sz w:val="16"/>
          <w:szCs w:val="16"/>
        </w:rPr>
        <w:t>(iii) Steam-assisted and nonassisted flares designed for and operated with an exit velocity, as determined by the method specified in paragraph (b)(7)(i) of this section, less than the velocity V</w:t>
      </w:r>
      <w:r>
        <w:rPr>
          <w:rFonts w:ascii="Arial" w:hAnsi="Arial" w:cs="Arial"/>
          <w:sz w:val="11"/>
          <w:szCs w:val="11"/>
          <w:vertAlign w:val="subscript"/>
        </w:rPr>
        <w:t>max</w:t>
      </w:r>
      <w:r>
        <w:rPr>
          <w:rFonts w:ascii="Arial" w:hAnsi="Arial" w:cs="Arial"/>
          <w:sz w:val="16"/>
          <w:szCs w:val="16"/>
        </w:rPr>
        <w:t xml:space="preserve"> , as determined by the method specified in this paragraph, but less than 122 m/sec (400 ft/sec) are allowed. The maximum permitted velocity, V</w:t>
      </w:r>
      <w:r>
        <w:rPr>
          <w:rFonts w:ascii="Arial" w:hAnsi="Arial" w:cs="Arial"/>
          <w:sz w:val="11"/>
          <w:szCs w:val="11"/>
          <w:vertAlign w:val="subscript"/>
        </w:rPr>
        <w:t>max</w:t>
      </w:r>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(V</w:t>
      </w:r>
      <w:r>
        <w:rPr>
          <w:rFonts w:ascii="Arial" w:hAnsi="Arial" w:cs="Arial"/>
          <w:sz w:val="11"/>
          <w:szCs w:val="11"/>
          <w:vertAlign w:val="subscript"/>
        </w:rPr>
        <w:t>max</w:t>
      </w:r>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(8) Air-assisted flares shall be designed and operated with an exit velocity less than the velocity V</w:t>
      </w:r>
      <w:r>
        <w:rPr>
          <w:rFonts w:ascii="Arial" w:hAnsi="Arial" w:cs="Arial"/>
          <w:sz w:val="11"/>
          <w:szCs w:val="11"/>
          <w:vertAlign w:val="subscript"/>
        </w:rPr>
        <w:t>max</w:t>
      </w:r>
      <w:r>
        <w:rPr>
          <w:rFonts w:ascii="Arial" w:hAnsi="Arial" w:cs="Arial"/>
          <w:sz w:val="16"/>
          <w:szCs w:val="16"/>
        </w:rPr>
        <w:t xml:space="preserve"> . The maximum permitted velocity, V</w:t>
      </w:r>
      <w:r>
        <w:rPr>
          <w:rFonts w:ascii="Arial" w:hAnsi="Arial" w:cs="Arial"/>
          <w:sz w:val="11"/>
          <w:szCs w:val="11"/>
          <w:vertAlign w:val="subscript"/>
        </w:rPr>
        <w:t>max</w:t>
      </w:r>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(i)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lastRenderedPageBreak/>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(i)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(e)(1)(i) and (e)(1)(ii) of this section.</w:t>
      </w:r>
    </w:p>
    <w:p w:rsidR="005C494B" w:rsidRDefault="005C494B" w:rsidP="005C494B">
      <w:pPr>
        <w:pStyle w:val="NormalWeb"/>
        <w:rPr>
          <w:rFonts w:ascii="Arial" w:hAnsi="Arial" w:cs="Arial"/>
          <w:sz w:val="16"/>
          <w:szCs w:val="16"/>
        </w:rPr>
      </w:pPr>
      <w:r>
        <w:rPr>
          <w:rFonts w:ascii="Arial" w:hAnsi="Arial" w:cs="Arial"/>
          <w:sz w:val="16"/>
          <w:szCs w:val="16"/>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(i) Calculate the mass flow rate to be used in the daily instrument check by following the procedures in paragraphs (e)(2)(i)(A) and (e)(2)(i)(B)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lastRenderedPageBreak/>
        <w:t>E</w:t>
      </w:r>
      <w:r>
        <w:rPr>
          <w:rFonts w:ascii="Arial" w:hAnsi="Arial" w:cs="Arial"/>
          <w:sz w:val="10"/>
          <w:szCs w:val="10"/>
          <w:vertAlign w:val="subscript"/>
        </w:rPr>
        <w:t>dic</w:t>
      </w:r>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i seen by the optical gas imaging instrument, within the distance to be used in paragraph (e)(2)(iv)(B) of this section, at or below the standard detection sensitivity level, E</w:t>
      </w:r>
      <w:r>
        <w:rPr>
          <w:rFonts w:ascii="Arial" w:hAnsi="Arial" w:cs="Arial"/>
          <w:sz w:val="10"/>
          <w:szCs w:val="10"/>
          <w:vertAlign w:val="subscript"/>
        </w:rPr>
        <w:t>sds</w:t>
      </w:r>
      <w:r>
        <w:rPr>
          <w:rFonts w:ascii="Arial" w:hAnsi="Arial" w:cs="Arial"/>
          <w:sz w:val="14"/>
          <w:szCs w:val="14"/>
        </w:rPr>
        <w:t xml:space="preserve"> .</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sds</w:t>
      </w:r>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(e)(4)(i)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(i)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(e)(2)(i)(A)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(e)(2)(i)(B)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lastRenderedPageBreak/>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2" w:name="40:10.0.1.1.1.1.5.12"/>
      <w:bookmarkEnd w:id="12"/>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112(i)(5) of the Act.</w:t>
      </w:r>
    </w:p>
    <w:p w:rsidR="005C494B" w:rsidRDefault="005C494B" w:rsidP="005C494B">
      <w:pPr>
        <w:pStyle w:val="NormalWeb"/>
        <w:rPr>
          <w:rFonts w:ascii="Arial" w:hAnsi="Arial" w:cs="Arial"/>
          <w:sz w:val="16"/>
          <w:szCs w:val="16"/>
        </w:rPr>
      </w:pPr>
      <w:r>
        <w:rPr>
          <w:rFonts w:ascii="Arial" w:hAnsi="Arial" w:cs="Arial"/>
          <w:sz w:val="16"/>
          <w:szCs w:val="16"/>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3" w:name="40:10.0.1.1.1.1.5.13"/>
      <w:bookmarkEnd w:id="13"/>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lastRenderedPageBreak/>
        <w:t>EPA Region VIII (Colorado, Montana, North Dakota, South Dakota, Utah, Wyoming) Director, Air and Toxics Technical Enforcement Program, Office of Enforcement, Compliance and Environmental Justice, Mail Code 8ENF-AT, 1595 Wynkoop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4" w:name="40:10.0.1.1.1.1.5.14"/>
      <w:bookmarkEnd w:id="14"/>
      <w:r>
        <w:rPr>
          <w:rFonts w:ascii="Arial" w:hAnsi="Arial" w:cs="Arial"/>
        </w:rPr>
        <w:t>§ 63.14   Incorporations by reference.</w:t>
      </w:r>
    </w:p>
    <w:p w:rsidR="005C494B" w:rsidRDefault="004A0730"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4A0730"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ProQuest,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ASTM D523-89, Standard Test Method for Specular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lastRenderedPageBreak/>
        <w:t>(8) ASTM D2879-83, Standard Method for Vapor Pressure-Temperature Relationship and Initial Decomposition Temperature of Liquids by Isoteniscope,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(15) ASTM D4256-89, 94, Standard Test Method for Determination of the Decontaminability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(21) ASTM D2099-00, Standard Test Method for Dynamic Water Resistance of Shoe Upper Leather by the Maeser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(25) ASTM D6093-97 (Reapproved 2003), “Standard Test Method for Percent Volume Nonvolatile Matter in Clear or Pigmented Coatings Using a Helium Gas Pycnometer,”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lastRenderedPageBreak/>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(37) ASTM D5087-02, “Standard Test Method for Determining Amount of Volatile Organic Compound (VOC) Released from Solventborne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(45) ASTM D2879-96, Test Method for Vapor Pressure-Temperature Relationship and Initial Decomposition Temperature of Liquids by Isoteniscope,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(49) ASTM D6323-98 (Reapproved 2003), Standard Guide for Laboratory Subsampling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(57) ASTM D6721-01 (Reapproved 2006) Standard Test Method for Determination of Chlorine in Coal by Oxidative Hydrolysis Microcoulometry,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(65) ASTM D 5228-92—“Standard Test Method for Determination of Butane Working Capacity of Activated Carbon,” reapproved 2005, IBR approved for § 63.11092(b)(1)(i)(B)(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lastRenderedPageBreak/>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(75) ASTM D4891-89 (Reapproved 2006) Standard Test Method for Heating Value of Gases in Natural Gas Range by Stoichiometric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63.150(g)(3)(i)(C)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(a)(30)(i) of subpart E of this part.</w:t>
      </w:r>
    </w:p>
    <w:p w:rsidR="005C494B" w:rsidRDefault="005C494B" w:rsidP="005C494B">
      <w:pPr>
        <w:pStyle w:val="NormalWeb"/>
        <w:rPr>
          <w:rFonts w:ascii="Arial" w:hAnsi="Arial" w:cs="Arial"/>
          <w:sz w:val="16"/>
          <w:szCs w:val="16"/>
        </w:rPr>
      </w:pPr>
      <w:r>
        <w:rPr>
          <w:rFonts w:ascii="Arial" w:hAnsi="Arial" w:cs="Arial"/>
          <w:sz w:val="16"/>
          <w:szCs w:val="16"/>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63.99(a)(8)(i)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(6) Maine Department of Environmental Protection regulations at Chapter 125, Perchloroethylene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 xml:space="preserve">(9) Rhode Island Department of Environmental Management regulations at Air Pollution Control Regulation No. 36, Control of Emissions from Organic Solvent Cleaning, effective April 8, 1996, last amended October 9, 2008, and Rhode Island Air Pollution Control, General </w:t>
      </w:r>
      <w:r>
        <w:rPr>
          <w:rFonts w:ascii="Arial" w:hAnsi="Arial" w:cs="Arial"/>
          <w:sz w:val="16"/>
          <w:szCs w:val="16"/>
        </w:rPr>
        <w:lastRenderedPageBreak/>
        <w:t>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(1) Handbook 44, Specificiations,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(2) NCASI Method CI/WP-98.01, Chilled Impinger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(4) NCASI Method IM/CAN/WP-99.02, Impinger/Canister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(5) NCASI Method ISS/FP A105.01, Impinger Source Sampling Method for Selected Aldehydes, Ketones,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(2) AOAC Official Method 969.02 Phosphorus (Total) in Fertilizers, Alkalimetric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(3) AOAC Official Method 962.02 Phosphorus (Total) in Fertilizers, Gravimetric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(7) AOAC Official Method 958.01 Phosphorus (Total) in Fertilizers, Spectrophotometric Molybdovanadophosphate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lastRenderedPageBreak/>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Quimociac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C—Spectrophotometric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Quimociac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C—Spectrophotometric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(j) The following material is available for purchase from: British Standards Institute, 389 Chiswick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(i) Method 0023A, “Sampling Method for Polychlorinated Dibenzo-p-Dioxins and Polychlorinated Dibenzofuran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(i)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Tullie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63.11120(a)(1)(i).</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63.11120(a)(2)(i).</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63.655(i),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(7) SW-846-9250, Chloride (Colorimetric, Automated Ferricyanide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(8) Method 8015C (SW-846-8015C), Nonhalogenated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(10) Method 8270D (SW-846-8270D), Semivolatile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ch. de la Voie-Creuse, Case postale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ISO 6978-1:2003(E), Natural Gas—Determination of Mercury—Part 1: Sampling of Mercury by Chemisorption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lastRenderedPageBreak/>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5" w:name="40:10.0.1.1.1.1.5.17"/>
      <w:bookmarkEnd w:id="15"/>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6" w:name="40:10.0.1.1.1.1.5.18"/>
      <w:bookmarkEnd w:id="16"/>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lastRenderedPageBreak/>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7" w:name="40:10.0.1.1.1.1.5.19.1"/>
      <w:bookmarkEnd w:id="17"/>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default" r:id="rId12"/>
      <w:footerReference w:type="default" r:id="rId13"/>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730" w:rsidRDefault="004A0730" w:rsidP="00E96E7F">
    <w:pPr>
      <w:pStyle w:val="Footer"/>
      <w:tabs>
        <w:tab w:val="clear" w:pos="8640"/>
        <w:tab w:val="right" w:pos="9900"/>
        <w:tab w:val="right" w:pos="10080"/>
      </w:tabs>
      <w:rPr>
        <w:sz w:val="18"/>
        <w:szCs w:val="18"/>
      </w:rPr>
    </w:pPr>
  </w:p>
  <w:p w:rsidR="00E96E7F" w:rsidRPr="004A0730" w:rsidRDefault="004A0730" w:rsidP="00E96E7F">
    <w:pPr>
      <w:pStyle w:val="Footer"/>
      <w:tabs>
        <w:tab w:val="clear" w:pos="8640"/>
        <w:tab w:val="right" w:pos="9900"/>
        <w:tab w:val="right" w:pos="10080"/>
      </w:tabs>
      <w:rPr>
        <w:sz w:val="20"/>
      </w:rPr>
    </w:pPr>
    <w:r w:rsidRPr="004A0730">
      <w:rPr>
        <w:sz w:val="20"/>
      </w:rPr>
      <w:t>Buckeye Florida, Limited Partnership</w:t>
    </w:r>
    <w:r w:rsidR="00E96E7F" w:rsidRPr="004A0730">
      <w:rPr>
        <w:sz w:val="20"/>
      </w:rPr>
      <w:tab/>
    </w:r>
    <w:r w:rsidR="00E96E7F" w:rsidRPr="004A0730">
      <w:rPr>
        <w:sz w:val="20"/>
      </w:rPr>
      <w:tab/>
      <w:t xml:space="preserve">              Permit No. </w:t>
    </w:r>
    <w:r w:rsidRPr="004A0730">
      <w:rPr>
        <w:sz w:val="20"/>
      </w:rPr>
      <w:t>1230001-046-AC</w:t>
    </w:r>
  </w:p>
  <w:p w:rsidR="004266F9" w:rsidRPr="004A0730" w:rsidRDefault="004A0730" w:rsidP="00E96E7F">
    <w:pPr>
      <w:pStyle w:val="Footer"/>
      <w:tabs>
        <w:tab w:val="clear" w:pos="4320"/>
        <w:tab w:val="clear" w:pos="8640"/>
        <w:tab w:val="right" w:pos="10080"/>
      </w:tabs>
      <w:rPr>
        <w:sz w:val="20"/>
      </w:rPr>
    </w:pPr>
    <w:r w:rsidRPr="004A0730">
      <w:rPr>
        <w:sz w:val="20"/>
      </w:rPr>
      <w:t>Foley Mill</w:t>
    </w:r>
    <w:r w:rsidR="00E96E7F" w:rsidRPr="004A0730">
      <w:rPr>
        <w:sz w:val="20"/>
      </w:rPr>
      <w:tab/>
    </w:r>
    <w:r w:rsidRPr="004A0730">
      <w:rPr>
        <w:sz w:val="20"/>
      </w:rPr>
      <w:t>NCG Collection System Improvement Projects</w:t>
    </w:r>
  </w:p>
  <w:p w:rsidR="004A0730" w:rsidRPr="004A0730" w:rsidRDefault="004A0730" w:rsidP="00E96E7F">
    <w:pPr>
      <w:pStyle w:val="Footer"/>
      <w:tabs>
        <w:tab w:val="clear" w:pos="4320"/>
        <w:tab w:val="clear" w:pos="8640"/>
        <w:tab w:val="right" w:pos="10080"/>
      </w:tabs>
      <w:rPr>
        <w:sz w:val="20"/>
      </w:rPr>
    </w:pPr>
  </w:p>
  <w:p w:rsidR="005B0986" w:rsidRPr="004A0730" w:rsidRDefault="005B0986" w:rsidP="004B79F0">
    <w:pPr>
      <w:tabs>
        <w:tab w:val="left" w:pos="0"/>
      </w:tabs>
      <w:jc w:val="center"/>
      <w:rPr>
        <w:sz w:val="20"/>
      </w:rPr>
    </w:pPr>
    <w:r w:rsidRPr="004A0730">
      <w:rPr>
        <w:sz w:val="20"/>
      </w:rPr>
      <w:t xml:space="preserve">Page </w:t>
    </w:r>
    <w:r w:rsidR="00BB0EC1" w:rsidRPr="004A0730">
      <w:rPr>
        <w:sz w:val="20"/>
      </w:rPr>
      <w:fldChar w:fldCharType="begin"/>
    </w:r>
    <w:r w:rsidR="00944AEB" w:rsidRPr="004A0730">
      <w:rPr>
        <w:sz w:val="20"/>
      </w:rPr>
      <w:instrText xml:space="preserve"> PAGE   \* MERGEFORMAT </w:instrText>
    </w:r>
    <w:r w:rsidR="00BB0EC1" w:rsidRPr="004A0730">
      <w:rPr>
        <w:sz w:val="20"/>
      </w:rPr>
      <w:fldChar w:fldCharType="separate"/>
    </w:r>
    <w:r w:rsidR="004A0730">
      <w:rPr>
        <w:noProof/>
        <w:sz w:val="20"/>
      </w:rPr>
      <w:t>1</w:t>
    </w:r>
    <w:r w:rsidR="00BB0EC1" w:rsidRPr="004A0730">
      <w:rPr>
        <w:sz w:val="20"/>
      </w:rPr>
      <w:fldChar w:fldCharType="end"/>
    </w:r>
    <w:r w:rsidRPr="004A0730">
      <w:rPr>
        <w:sz w:val="20"/>
      </w:rPr>
      <w:t xml:space="preserve"> of </w:t>
    </w:r>
    <w:r w:rsidR="00E96E7F" w:rsidRPr="004A0730">
      <w:rPr>
        <w:sz w:val="20"/>
      </w:rPr>
      <w:fldChar w:fldCharType="begin"/>
    </w:r>
    <w:r w:rsidR="00E96E7F" w:rsidRPr="004A0730">
      <w:rPr>
        <w:sz w:val="20"/>
      </w:rPr>
      <w:instrText xml:space="preserve"> NUMPAGES  \* Arabic  \* MERGEFORMAT </w:instrText>
    </w:r>
    <w:r w:rsidR="00E96E7F" w:rsidRPr="004A0730">
      <w:rPr>
        <w:sz w:val="20"/>
      </w:rPr>
      <w:fldChar w:fldCharType="separate"/>
    </w:r>
    <w:r w:rsidR="004A0730">
      <w:rPr>
        <w:noProof/>
        <w:sz w:val="20"/>
      </w:rPr>
      <w:t>65</w:t>
    </w:r>
    <w:r w:rsidR="00E96E7F" w:rsidRPr="004A0730">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A0730"/>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6E7F"/>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fr.gov/cgi-bin/text-idx?SID=3874a01b252328706d62e0304394719b&amp;node=20110321y1.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43315</Words>
  <Characters>246896</Characters>
  <Application>Microsoft Office Word</Application>
  <DocSecurity>0</DocSecurity>
  <Lines>2057</Lines>
  <Paragraphs>579</Paragraphs>
  <ScaleCrop>false</ScaleCrop>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2014-04-08T15:08:00Z</dcterms:modified>
</cp:coreProperties>
</file>